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18" w:rsidRPr="00F41E18" w:rsidRDefault="00F41E18" w:rsidP="00F41E18">
      <w:p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G. Horowitz, “Notes on ‘Conservatism, Liberalism, and Socialism in Canada,” </w:t>
      </w:r>
      <w:r w:rsidRPr="00F41E18">
        <w:rPr>
          <w:rFonts w:ascii="Times New Roman" w:hAnsi="Times New Roman"/>
          <w:i/>
          <w:sz w:val="22"/>
        </w:rPr>
        <w:t>CJPS</w:t>
      </w:r>
      <w:r w:rsidRPr="00F41E18">
        <w:rPr>
          <w:rFonts w:ascii="Times New Roman" w:hAnsi="Times New Roman"/>
          <w:sz w:val="22"/>
        </w:rPr>
        <w:t xml:space="preserve"> 11:2 (June 1978)</w:t>
      </w:r>
    </w:p>
    <w:p w:rsidR="00F41E18" w:rsidRPr="00F41E18" w:rsidRDefault="00F41E18" w:rsidP="00F41E18">
      <w:pPr>
        <w:spacing w:after="120"/>
        <w:rPr>
          <w:rFonts w:ascii="Times New Roman" w:hAnsi="Times New Roman"/>
          <w:b/>
          <w:sz w:val="22"/>
        </w:rPr>
      </w:pPr>
      <w:r w:rsidRPr="00F41E18">
        <w:rPr>
          <w:rFonts w:ascii="Times New Roman" w:hAnsi="Times New Roman"/>
          <w:b/>
          <w:sz w:val="22"/>
        </w:rPr>
        <w:t>Overview</w:t>
      </w:r>
    </w:p>
    <w:p w:rsidR="00F41E18" w:rsidRPr="00F41E18" w:rsidRDefault="00F41E18" w:rsidP="00F41E18">
      <w:p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Paper is a response to criticisms made to original paper. </w:t>
      </w:r>
    </w:p>
    <w:p w:rsidR="00F41E18" w:rsidRPr="00F41E18" w:rsidRDefault="00F41E18" w:rsidP="00F41E18">
      <w:pPr>
        <w:spacing w:after="120"/>
        <w:rPr>
          <w:rFonts w:ascii="Times New Roman" w:hAnsi="Times New Roman"/>
          <w:b/>
          <w:sz w:val="22"/>
        </w:rPr>
      </w:pPr>
      <w:r w:rsidRPr="00F41E18">
        <w:rPr>
          <w:rFonts w:ascii="Times New Roman" w:hAnsi="Times New Roman"/>
          <w:b/>
          <w:sz w:val="22"/>
        </w:rPr>
        <w:t>Background</w:t>
      </w:r>
    </w:p>
    <w:p w:rsidR="00F41E18" w:rsidRP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One of the most common misunderstandings of </w:t>
      </w:r>
      <w:proofErr w:type="spellStart"/>
      <w:r w:rsidRPr="00F41E18">
        <w:rPr>
          <w:rFonts w:ascii="Times New Roman" w:hAnsi="Times New Roman"/>
          <w:sz w:val="22"/>
        </w:rPr>
        <w:t>Hartz’s</w:t>
      </w:r>
      <w:proofErr w:type="spellEnd"/>
      <w:r w:rsidRPr="00F41E18">
        <w:rPr>
          <w:rFonts w:ascii="Times New Roman" w:hAnsi="Times New Roman"/>
          <w:sz w:val="22"/>
        </w:rPr>
        <w:t xml:space="preserve"> theory is that it is a species of the genus ‘idealistic determinism’ – </w:t>
      </w:r>
    </w:p>
    <w:p w:rsidR="00F41E18" w:rsidRPr="00F41E18" w:rsidRDefault="00F41E18" w:rsidP="00F41E1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proofErr w:type="spellStart"/>
      <w:r w:rsidRPr="00F41E18">
        <w:rPr>
          <w:rFonts w:ascii="Times New Roman" w:hAnsi="Times New Roman"/>
          <w:sz w:val="22"/>
        </w:rPr>
        <w:t>Hartz’s</w:t>
      </w:r>
      <w:proofErr w:type="spellEnd"/>
      <w:r w:rsidRPr="00F41E18">
        <w:rPr>
          <w:rFonts w:ascii="Times New Roman" w:hAnsi="Times New Roman"/>
          <w:sz w:val="22"/>
        </w:rPr>
        <w:t xml:space="preserve"> explanation of the failure of American socialism is often contraposed to economic explanation, but these two explanations are not mutually exclusive – they can and should be conjoined.</w:t>
      </w:r>
    </w:p>
    <w:p w:rsidR="00F41E18" w:rsidRP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The political culture of the new society is to be understood not simply as a product of fragmentation, but as a product of the dialectic between the fragmentation process and other processes which inhibit or interfere with the fragmentation. </w:t>
      </w:r>
      <w:proofErr w:type="spellStart"/>
      <w:r w:rsidRPr="00F41E18">
        <w:rPr>
          <w:rFonts w:ascii="Times New Roman" w:hAnsi="Times New Roman"/>
          <w:sz w:val="22"/>
        </w:rPr>
        <w:t>Hartz</w:t>
      </w:r>
      <w:proofErr w:type="spellEnd"/>
      <w:r w:rsidRPr="00F41E18">
        <w:rPr>
          <w:rFonts w:ascii="Times New Roman" w:hAnsi="Times New Roman"/>
          <w:sz w:val="22"/>
        </w:rPr>
        <w:t xml:space="preserve"> calls this the “tug of war between the fixity of a fragment and the energies arising out of its breakdown”</w:t>
      </w:r>
    </w:p>
    <w:p w:rsidR="00F41E18" w:rsidRPr="00F41E18" w:rsidRDefault="00F41E18" w:rsidP="00F41E18">
      <w:pPr>
        <w:pStyle w:val="ListParagraph"/>
        <w:spacing w:after="120"/>
        <w:rPr>
          <w:rFonts w:ascii="Times New Roman" w:hAnsi="Times New Roman"/>
          <w:sz w:val="22"/>
        </w:rPr>
      </w:pPr>
    </w:p>
    <w:p w:rsidR="00F41E18" w:rsidRPr="00F41E18" w:rsidRDefault="00F41E18" w:rsidP="00F41E18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>In his 1966 paper, Horowitz was “not attempting to subvert economic explanations of the role of the state” – he argued not that toryism “caused” the use of the state, but that it was available for the legitimation of the use of the state, among other things.</w:t>
      </w:r>
    </w:p>
    <w:p w:rsidR="00F41E18" w:rsidRPr="00F41E18" w:rsidRDefault="00F41E18" w:rsidP="00F41E18">
      <w:pPr>
        <w:spacing w:after="0"/>
        <w:rPr>
          <w:rFonts w:ascii="Times New Roman" w:hAnsi="Times New Roman"/>
          <w:sz w:val="22"/>
        </w:rPr>
      </w:pPr>
    </w:p>
    <w:p w:rsidR="00F41E18" w:rsidRP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Horowitz admits that his “application of </w:t>
      </w:r>
      <w:proofErr w:type="spellStart"/>
      <w:r w:rsidRPr="00F41E18">
        <w:rPr>
          <w:rFonts w:ascii="Times New Roman" w:hAnsi="Times New Roman"/>
          <w:sz w:val="22"/>
        </w:rPr>
        <w:t>Hartz’s</w:t>
      </w:r>
      <w:proofErr w:type="spellEnd"/>
      <w:r w:rsidRPr="00F41E18">
        <w:rPr>
          <w:rFonts w:ascii="Times New Roman" w:hAnsi="Times New Roman"/>
          <w:sz w:val="22"/>
        </w:rPr>
        <w:t xml:space="preserve"> theory to English Canada was marred by an unfortunate confusion in its treatment to the notion of congealment of the fragment culture” – his concern was to undermine Kenneth McRae’s argument, and argued that it was difficult to put one’s finger on the pt of congealment</w:t>
      </w:r>
    </w:p>
    <w:p w:rsidR="00F41E18" w:rsidRDefault="00F41E18" w:rsidP="00F41E1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 w:rsidRPr="00F41E18">
        <w:rPr>
          <w:rFonts w:ascii="Times New Roman" w:hAnsi="Times New Roman"/>
          <w:sz w:val="22"/>
        </w:rPr>
        <w:t xml:space="preserve">Horowitz admits to regrettably making it appear that congealment is an all-or-nothing phenomenon, and rather should have used the notion of a </w:t>
      </w:r>
      <w:r w:rsidRPr="00F41E18">
        <w:rPr>
          <w:rFonts w:ascii="Times New Roman" w:hAnsi="Times New Roman"/>
          <w:i/>
          <w:sz w:val="22"/>
        </w:rPr>
        <w:t xml:space="preserve">degree </w:t>
      </w:r>
      <w:r w:rsidRPr="00F41E18">
        <w:rPr>
          <w:rFonts w:ascii="Times New Roman" w:hAnsi="Times New Roman"/>
          <w:sz w:val="22"/>
        </w:rPr>
        <w:t>of congealment, which is identical with the notion of a degree of fragmentation</w:t>
      </w:r>
    </w:p>
    <w:p w:rsidR="00F41E18" w:rsidRDefault="00F41E18" w:rsidP="00F41E18">
      <w:pPr>
        <w:pStyle w:val="ListParagraph"/>
        <w:spacing w:after="120"/>
        <w:ind w:left="1440"/>
        <w:rPr>
          <w:rFonts w:ascii="Times New Roman" w:hAnsi="Times New Roman"/>
          <w:sz w:val="22"/>
        </w:rPr>
      </w:pPr>
    </w:p>
    <w:p w:rsid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Tom Truman finds Horowitz’s argument about tory roots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socialism unconvincing – as Horowitz confuses two types of toryism – (1) real, British ideological toryism, and (2) the Empire, a kind of British racism</w:t>
      </w:r>
    </w:p>
    <w:p w:rsid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Truman suggests a “more plausible explanation” for the strength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toryism – that the close relationship with Britain made it easy for British ideas and British settlers to be imported and accepted </w:t>
      </w:r>
    </w:p>
    <w:p w:rsidR="00F41E18" w:rsidRDefault="00F41E18" w:rsidP="00F41E1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Horowitz notes, and its is clear, that this is not far off some Horowitz’s own suggestions in the original paper</w:t>
      </w:r>
    </w:p>
    <w:p w:rsidR="00F41E18" w:rsidRDefault="00F41E18" w:rsidP="00F41E1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Where Horowitz differs, is in not seeing this close relationship with Britain as devoid of ideological motivation or ideological meaning</w:t>
      </w:r>
    </w:p>
    <w:p w:rsidR="00F41E18" w:rsidRDefault="00F41E18" w:rsidP="00F41E18">
      <w:pPr>
        <w:pStyle w:val="ListParagraph"/>
        <w:spacing w:after="120"/>
        <w:rPr>
          <w:rFonts w:ascii="Times New Roman" w:hAnsi="Times New Roman"/>
          <w:sz w:val="22"/>
        </w:rPr>
      </w:pPr>
    </w:p>
    <w:p w:rsid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Some readers of the 1966 paper saw it as an attempt to explain the nature of </w:t>
      </w:r>
      <w:proofErr w:type="spellStart"/>
      <w:r>
        <w:rPr>
          <w:rFonts w:ascii="Times New Roman" w:hAnsi="Times New Roman"/>
          <w:sz w:val="22"/>
        </w:rPr>
        <w:t>Cdn</w:t>
      </w:r>
      <w:proofErr w:type="spellEnd"/>
      <w:r>
        <w:rPr>
          <w:rFonts w:ascii="Times New Roman" w:hAnsi="Times New Roman"/>
          <w:sz w:val="22"/>
        </w:rPr>
        <w:t xml:space="preserve"> political parties and of the party system in ideological terms </w:t>
      </w:r>
    </w:p>
    <w:p w:rsidR="00F41E18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According to Winn et al., Horowitz argued that “philosophical differences” are “more important than social cleavages on the input side”</w:t>
      </w:r>
    </w:p>
    <w:p w:rsidR="00F41E18" w:rsidRDefault="00F41E18" w:rsidP="00F41E18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That is, that liberal, tory, and socialist ideas are more important than class, religion, ethnicity, etc, in accounting for the existence of parties</w:t>
      </w:r>
    </w:p>
    <w:p w:rsidR="00080982" w:rsidRDefault="00F41E18" w:rsidP="00F41E1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Horowitz states that “what Winn et al. have refuted is, of course, a gross oversimplification, almost a trav</w:t>
      </w:r>
      <w:r w:rsidR="00080982">
        <w:rPr>
          <w:rFonts w:ascii="Times New Roman" w:hAnsi="Times New Roman"/>
          <w:sz w:val="22"/>
        </w:rPr>
        <w:t>esty, of [his original] argument, which was not an ideological or any other kind of explanation on the separate identities of the major parties”</w:t>
      </w:r>
    </w:p>
    <w:p w:rsidR="00F52BA1" w:rsidRDefault="00080982" w:rsidP="00080982">
      <w:pPr>
        <w:pStyle w:val="ListParagraph"/>
        <w:numPr>
          <w:ilvl w:val="1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“Ideology is not the cause of policy, but there is no such thing as a ‘non-ideological response.’ Policies must be legitimated; they must at the very least be defensible as not in conflict with accepted ideas”</w:t>
      </w:r>
      <w:r w:rsidR="00F41E18">
        <w:rPr>
          <w:rFonts w:ascii="Times New Roman" w:hAnsi="Times New Roman"/>
          <w:sz w:val="22"/>
        </w:rPr>
        <w:t xml:space="preserve"> </w:t>
      </w:r>
    </w:p>
    <w:p w:rsidR="00F52BA1" w:rsidRPr="00264488" w:rsidRDefault="00F52BA1" w:rsidP="00264488">
      <w:pPr>
        <w:spacing w:after="120"/>
        <w:rPr>
          <w:rFonts w:ascii="Times New Roman" w:hAnsi="Times New Roman"/>
          <w:sz w:val="22"/>
        </w:rPr>
      </w:pPr>
    </w:p>
    <w:p w:rsidR="00F52BA1" w:rsidRDefault="00F52BA1" w:rsidP="00F52BA1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With regards to the comparison of English Canada and the US, it would be refutation of </w:t>
      </w:r>
      <w:proofErr w:type="spellStart"/>
      <w:r>
        <w:rPr>
          <w:rFonts w:ascii="Times New Roman" w:hAnsi="Times New Roman"/>
          <w:sz w:val="22"/>
        </w:rPr>
        <w:t>Hartzian</w:t>
      </w:r>
      <w:proofErr w:type="spellEnd"/>
      <w:r>
        <w:rPr>
          <w:rFonts w:ascii="Times New Roman" w:hAnsi="Times New Roman"/>
          <w:sz w:val="22"/>
        </w:rPr>
        <w:t xml:space="preserve"> theory to show that attitudes distinctly tory, or attitudes shared by toryism, socialism, and reform liberalism are evinced by as many Americans (proportionately) as Anglophone </w:t>
      </w:r>
      <w:proofErr w:type="spellStart"/>
      <w:r>
        <w:rPr>
          <w:rFonts w:ascii="Times New Roman" w:hAnsi="Times New Roman"/>
          <w:sz w:val="22"/>
        </w:rPr>
        <w:t>Cdns</w:t>
      </w:r>
      <w:proofErr w:type="spellEnd"/>
      <w:r>
        <w:rPr>
          <w:rFonts w:ascii="Times New Roman" w:hAnsi="Times New Roman"/>
          <w:sz w:val="22"/>
        </w:rPr>
        <w:t>, for 4 reasons:</w:t>
      </w:r>
    </w:p>
    <w:p w:rsidR="00F52BA1" w:rsidRDefault="00F52BA1" w:rsidP="00F52BA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Attitudes distinctively tory (hierarchical, aristocratic) are dying everywhere, even in Britain</w:t>
      </w:r>
    </w:p>
    <w:p w:rsidR="00F52BA1" w:rsidRDefault="00F52BA1" w:rsidP="00F52BA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Attitudes common to toryism and socialism may be dying in English Canada as a result of the process of Americanization</w:t>
      </w:r>
    </w:p>
    <w:p w:rsidR="00F52BA1" w:rsidRDefault="00F52BA1" w:rsidP="00F52BA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contradistinction to (2), attitudes shared by toryism and socialism my be gaining strength in the US and in other bourgeois fragments as a result of the opening of the fragments to the world</w:t>
      </w:r>
    </w:p>
    <w:p w:rsidR="00F52BA1" w:rsidRDefault="00F52BA1" w:rsidP="00F52BA1">
      <w:pPr>
        <w:pStyle w:val="ListParagraph"/>
        <w:numPr>
          <w:ilvl w:val="0"/>
          <w:numId w:val="2"/>
        </w:num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Survey research is not useless, but it is not the best method of testing the </w:t>
      </w:r>
      <w:proofErr w:type="spellStart"/>
      <w:r>
        <w:rPr>
          <w:rFonts w:ascii="Times New Roman" w:hAnsi="Times New Roman"/>
          <w:sz w:val="22"/>
        </w:rPr>
        <w:t>Hartzian</w:t>
      </w:r>
      <w:proofErr w:type="spellEnd"/>
      <w:r>
        <w:rPr>
          <w:rFonts w:ascii="Times New Roman" w:hAnsi="Times New Roman"/>
          <w:sz w:val="22"/>
        </w:rPr>
        <w:t xml:space="preserve"> theory. Survey research yields isolated responses to questionnaire items, whereas the </w:t>
      </w:r>
      <w:proofErr w:type="spellStart"/>
      <w:r>
        <w:rPr>
          <w:rFonts w:ascii="Times New Roman" w:hAnsi="Times New Roman"/>
          <w:sz w:val="22"/>
        </w:rPr>
        <w:t>Hartzian</w:t>
      </w:r>
      <w:proofErr w:type="spellEnd"/>
      <w:r>
        <w:rPr>
          <w:rFonts w:ascii="Times New Roman" w:hAnsi="Times New Roman"/>
          <w:sz w:val="22"/>
        </w:rPr>
        <w:t xml:space="preserve"> approach deals with the totality of the </w:t>
      </w:r>
      <w:proofErr w:type="spellStart"/>
      <w:r>
        <w:rPr>
          <w:rFonts w:ascii="Times New Roman" w:hAnsi="Times New Roman"/>
          <w:sz w:val="22"/>
        </w:rPr>
        <w:t>hx</w:t>
      </w:r>
      <w:proofErr w:type="spellEnd"/>
      <w:r>
        <w:rPr>
          <w:rFonts w:ascii="Times New Roman" w:hAnsi="Times New Roman"/>
          <w:sz w:val="22"/>
        </w:rPr>
        <w:t xml:space="preserve"> of the ideological outlook of a person or group, studied in a comparative way, in its pan-Western setting. It is impossible to over-emphasize the importance of the holistic, dialectical, and comparative qualities of the </w:t>
      </w:r>
      <w:proofErr w:type="spellStart"/>
      <w:r>
        <w:rPr>
          <w:rFonts w:ascii="Times New Roman" w:hAnsi="Times New Roman"/>
          <w:sz w:val="22"/>
        </w:rPr>
        <w:t>Hartzian</w:t>
      </w:r>
      <w:proofErr w:type="spellEnd"/>
      <w:r>
        <w:rPr>
          <w:rFonts w:ascii="Times New Roman" w:hAnsi="Times New Roman"/>
          <w:sz w:val="22"/>
        </w:rPr>
        <w:t xml:space="preserve"> approach </w:t>
      </w:r>
    </w:p>
    <w:p w:rsidR="00264488" w:rsidRPr="00264488" w:rsidRDefault="00F52BA1" w:rsidP="0026448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sz w:val="22"/>
        </w:rPr>
      </w:pPr>
      <w:r w:rsidRPr="00264488">
        <w:rPr>
          <w:rFonts w:ascii="Times New Roman" w:hAnsi="Times New Roman"/>
          <w:sz w:val="22"/>
        </w:rPr>
        <w:t xml:space="preserve">Like most interesting social theories, </w:t>
      </w:r>
      <w:proofErr w:type="spellStart"/>
      <w:r w:rsidRPr="00264488">
        <w:rPr>
          <w:rFonts w:ascii="Times New Roman" w:hAnsi="Times New Roman"/>
          <w:sz w:val="22"/>
        </w:rPr>
        <w:t>Hartz’s</w:t>
      </w:r>
      <w:proofErr w:type="spellEnd"/>
      <w:r w:rsidRPr="00264488">
        <w:rPr>
          <w:rFonts w:ascii="Times New Roman" w:hAnsi="Times New Roman"/>
          <w:sz w:val="22"/>
        </w:rPr>
        <w:t xml:space="preserve"> is to be validated not primarily by the application of </w:t>
      </w:r>
      <w:proofErr w:type="spellStart"/>
      <w:r w:rsidRPr="00264488">
        <w:rPr>
          <w:rFonts w:ascii="Times New Roman" w:hAnsi="Times New Roman"/>
          <w:sz w:val="22"/>
        </w:rPr>
        <w:t>behaviourist</w:t>
      </w:r>
      <w:proofErr w:type="spellEnd"/>
      <w:r w:rsidRPr="00264488">
        <w:rPr>
          <w:rFonts w:ascii="Times New Roman" w:hAnsi="Times New Roman"/>
          <w:sz w:val="22"/>
        </w:rPr>
        <w:t xml:space="preserve"> technology, but by the extent to which his theory illuminated the phenomena</w:t>
      </w:r>
    </w:p>
    <w:p w:rsidR="00F41E18" w:rsidRPr="00264488" w:rsidRDefault="00F41E18" w:rsidP="00264488">
      <w:pPr>
        <w:pStyle w:val="ListParagraph"/>
        <w:spacing w:after="120"/>
        <w:rPr>
          <w:rFonts w:ascii="Times New Roman" w:hAnsi="Times New Roman"/>
          <w:sz w:val="22"/>
        </w:rPr>
      </w:pPr>
    </w:p>
    <w:p w:rsidR="00264488" w:rsidRDefault="00F41E18" w:rsidP="00F41E18">
      <w:pPr>
        <w:spacing w:after="120"/>
        <w:rPr>
          <w:rFonts w:ascii="Times New Roman" w:hAnsi="Times New Roman"/>
          <w:b/>
          <w:sz w:val="22"/>
        </w:rPr>
      </w:pPr>
      <w:r w:rsidRPr="00F41E18">
        <w:rPr>
          <w:rFonts w:ascii="Times New Roman" w:hAnsi="Times New Roman"/>
          <w:b/>
          <w:sz w:val="22"/>
        </w:rPr>
        <w:t>Conclusions</w:t>
      </w:r>
    </w:p>
    <w:p w:rsidR="00F41E18" w:rsidRPr="00264488" w:rsidRDefault="00264488" w:rsidP="00F41E18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For Horowitz, the understanding of the Peron phenomenon (in Argentina) that is yielded by the fragment theory is as good a validation as any “empirical” test. Not survey research, but the Owl of Minerva, will have the last word.</w:t>
      </w:r>
    </w:p>
    <w:sectPr w:rsidR="00F41E18" w:rsidRPr="00264488" w:rsidSect="00F41E18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038"/>
    <w:multiLevelType w:val="hybridMultilevel"/>
    <w:tmpl w:val="6C2A1524"/>
    <w:lvl w:ilvl="0" w:tplc="00B8D95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580464"/>
    <w:multiLevelType w:val="hybridMultilevel"/>
    <w:tmpl w:val="EFC8753A"/>
    <w:lvl w:ilvl="0" w:tplc="FB70888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1E18"/>
    <w:rsid w:val="00080982"/>
    <w:rsid w:val="00264488"/>
    <w:rsid w:val="00F41E18"/>
    <w:rsid w:val="00F52BA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41E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467</Words>
  <Characters>2665</Characters>
  <Application>Microsoft Macintosh Word</Application>
  <DocSecurity>0</DocSecurity>
  <Lines>22</Lines>
  <Paragraphs>5</Paragraphs>
  <ScaleCrop>false</ScaleCrop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2</cp:revision>
  <dcterms:created xsi:type="dcterms:W3CDTF">2012-05-07T14:02:00Z</dcterms:created>
  <dcterms:modified xsi:type="dcterms:W3CDTF">2012-05-07T14:36:00Z</dcterms:modified>
</cp:coreProperties>
</file>